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27226C40"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9A32D1">
        <w:rPr>
          <w:rFonts w:cs="Arial"/>
          <w:b/>
          <w:sz w:val="24"/>
          <w:lang w:val="en-GB"/>
        </w:rPr>
        <w:t>5</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r w:rsidR="00C7059C">
        <w:rPr>
          <w:rFonts w:cs="Arial"/>
          <w:b/>
          <w:sz w:val="24"/>
          <w:lang w:val="en-GB"/>
        </w:rPr>
        <w:tab/>
      </w:r>
      <w:r w:rsidR="00817AF4" w:rsidRPr="00817AF4">
        <w:rPr>
          <w:rFonts w:cs="Arial"/>
          <w:b/>
          <w:sz w:val="24"/>
          <w:lang w:val="en-GB"/>
        </w:rPr>
        <w:t>R1-1813379</w:t>
      </w:r>
      <w:bookmarkStart w:id="0" w:name="_GoBack"/>
      <w:bookmarkEnd w:id="0"/>
    </w:p>
    <w:p w14:paraId="3CF70009" w14:textId="0AB70D81" w:rsidR="00965321" w:rsidRDefault="009A32D1" w:rsidP="00965321">
      <w:pPr>
        <w:tabs>
          <w:tab w:val="left" w:pos="567"/>
        </w:tabs>
        <w:rPr>
          <w:rFonts w:cs="Arial"/>
          <w:b/>
          <w:sz w:val="24"/>
          <w:lang w:val="en-GB"/>
        </w:rPr>
      </w:pPr>
      <w:r>
        <w:rPr>
          <w:rFonts w:cs="Arial"/>
          <w:b/>
          <w:sz w:val="24"/>
          <w:lang w:val="en-GB"/>
        </w:rPr>
        <w:t>Spokane</w:t>
      </w:r>
      <w:r w:rsidR="004D58F6">
        <w:rPr>
          <w:rFonts w:cs="Arial"/>
          <w:b/>
          <w:sz w:val="24"/>
          <w:lang w:val="en-GB"/>
        </w:rPr>
        <w:t>,</w:t>
      </w:r>
      <w:r>
        <w:rPr>
          <w:rFonts w:cs="Arial"/>
          <w:b/>
          <w:sz w:val="24"/>
          <w:lang w:val="en-GB"/>
        </w:rPr>
        <w:t xml:space="preserve"> Washington, Novem</w:t>
      </w:r>
      <w:r w:rsidR="004D58F6">
        <w:rPr>
          <w:rFonts w:cs="Arial"/>
          <w:b/>
          <w:sz w:val="24"/>
          <w:lang w:val="en-GB"/>
        </w:rPr>
        <w:t>ber</w:t>
      </w:r>
      <w:r w:rsidR="00965321" w:rsidRPr="0074590A">
        <w:rPr>
          <w:rFonts w:cs="Arial"/>
          <w:b/>
          <w:sz w:val="24"/>
          <w:lang w:val="en-GB"/>
        </w:rPr>
        <w:t xml:space="preserve"> </w:t>
      </w:r>
      <w:r>
        <w:rPr>
          <w:rFonts w:cs="Arial"/>
          <w:b/>
          <w:sz w:val="24"/>
          <w:lang w:val="en-GB"/>
        </w:rPr>
        <w:t>12</w:t>
      </w:r>
      <w:r w:rsidR="00965321" w:rsidRPr="0074590A">
        <w:rPr>
          <w:rFonts w:cs="Arial"/>
          <w:b/>
          <w:sz w:val="24"/>
          <w:lang w:val="en-GB"/>
        </w:rPr>
        <w:t xml:space="preserve">th – </w:t>
      </w:r>
      <w:r>
        <w:rPr>
          <w:rFonts w:cs="Arial"/>
          <w:b/>
          <w:sz w:val="24"/>
          <w:lang w:val="en-GB"/>
        </w:rPr>
        <w:t>16</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2236199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w:t>
      </w:r>
      <w:r w:rsidR="00B16656">
        <w:rPr>
          <w:b/>
          <w:sz w:val="24"/>
          <w:szCs w:val="24"/>
        </w:rPr>
        <w:t>3</w:t>
      </w:r>
      <w:r w:rsidR="00965321">
        <w:rPr>
          <w:b/>
          <w:sz w:val="24"/>
          <w:szCs w:val="24"/>
        </w:rPr>
        <w:t>.</w:t>
      </w:r>
      <w:r w:rsidR="00B16656">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6DD68566"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9A32D1">
        <w:rPr>
          <w:b/>
          <w:sz w:val="24"/>
          <w:szCs w:val="24"/>
        </w:rPr>
        <w:t>Initial Signal Design and Power Saving</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7C568F48"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In RAN1#93, t</w:t>
      </w:r>
      <w:r w:rsidR="00BC07D6">
        <w:rPr>
          <w:rFonts w:ascii="Calibri" w:hAnsi="Calibri"/>
        </w:rPr>
        <w:t>he following agreement</w:t>
      </w:r>
      <w:r w:rsidR="00CD44A8">
        <w:rPr>
          <w:rFonts w:ascii="Calibri" w:hAnsi="Calibri"/>
        </w:rPr>
        <w:t xml:space="preserve"> w</w:t>
      </w:r>
      <w:r w:rsidR="00B16656">
        <w:rPr>
          <w:rFonts w:ascii="Calibri" w:hAnsi="Calibri"/>
        </w:rPr>
        <w:t>as</w:t>
      </w:r>
      <w:r w:rsidR="00BC07D6">
        <w:rPr>
          <w:rFonts w:ascii="Calibri" w:hAnsi="Calibri"/>
        </w:rPr>
        <w:t xml:space="preserve"> reached regarding </w:t>
      </w:r>
      <w:r w:rsidR="00B16656">
        <w:rPr>
          <w:rFonts w:ascii="Calibri" w:hAnsi="Calibri"/>
        </w:rPr>
        <w:t xml:space="preserve">DL frame structure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60265EF3" w14:textId="77777777" w:rsidR="004D58F6" w:rsidRDefault="004D58F6" w:rsidP="004D58F6">
      <w:pPr>
        <w:rPr>
          <w:rFonts w:eastAsia="MS Mincho"/>
          <w:iCs/>
          <w:lang w:eastAsia="ja-JP"/>
        </w:rPr>
      </w:pPr>
      <w:r w:rsidRPr="00EF7BAD">
        <w:rPr>
          <w:rFonts w:eastAsia="MS Mincho"/>
          <w:iCs/>
          <w:highlight w:val="green"/>
          <w:lang w:eastAsia="ja-JP"/>
        </w:rPr>
        <w:t>Agreement:</w:t>
      </w:r>
    </w:p>
    <w:p w14:paraId="560DD017" w14:textId="77777777" w:rsidR="00B16656" w:rsidRDefault="00B16656" w:rsidP="00B16656">
      <w:pPr>
        <w:pStyle w:val="bullet"/>
        <w:numPr>
          <w:ilvl w:val="0"/>
          <w:numId w:val="26"/>
        </w:numPr>
        <w:ind w:left="720"/>
      </w:pPr>
      <w:r>
        <w:t xml:space="preserve">Benefits of using a signal that facilitates its detection with low complexity can be investigated including all/part of the following scenarios/use cases: </w:t>
      </w:r>
    </w:p>
    <w:p w14:paraId="6AF4E6E8" w14:textId="77777777" w:rsidR="00B16656" w:rsidRDefault="00B16656" w:rsidP="00B16656">
      <w:pPr>
        <w:pStyle w:val="bullet"/>
        <w:numPr>
          <w:ilvl w:val="1"/>
          <w:numId w:val="26"/>
        </w:numPr>
        <w:ind w:firstLine="400"/>
      </w:pPr>
      <w:r>
        <w:t>UE power saving</w:t>
      </w:r>
    </w:p>
    <w:p w14:paraId="504B4957" w14:textId="77777777" w:rsidR="00B16656" w:rsidRDefault="00B16656" w:rsidP="00B16656">
      <w:pPr>
        <w:pStyle w:val="bullet"/>
        <w:numPr>
          <w:ilvl w:val="1"/>
          <w:numId w:val="26"/>
        </w:numPr>
        <w:ind w:firstLine="400"/>
      </w:pPr>
      <w:r>
        <w:t>Improved coexistence</w:t>
      </w:r>
    </w:p>
    <w:p w14:paraId="73498092" w14:textId="77777777" w:rsidR="00B16656" w:rsidRDefault="00B16656" w:rsidP="00B16656">
      <w:pPr>
        <w:pStyle w:val="bullet"/>
        <w:numPr>
          <w:ilvl w:val="1"/>
          <w:numId w:val="26"/>
        </w:numPr>
        <w:ind w:firstLine="400"/>
      </w:pPr>
      <w:r>
        <w:t xml:space="preserve">Spatial reuse at least within the same operator network </w:t>
      </w:r>
    </w:p>
    <w:p w14:paraId="65D64571" w14:textId="77777777" w:rsidR="00B16656" w:rsidRDefault="00B16656" w:rsidP="00B16656">
      <w:pPr>
        <w:pStyle w:val="bullet"/>
        <w:numPr>
          <w:ilvl w:val="1"/>
          <w:numId w:val="26"/>
        </w:numPr>
        <w:ind w:firstLine="400"/>
      </w:pPr>
      <w:r>
        <w:t>Serving cell transmission burst acquisition</w:t>
      </w:r>
    </w:p>
    <w:p w14:paraId="6832E92C" w14:textId="77777777" w:rsidR="00B16656" w:rsidRDefault="00B16656" w:rsidP="00B16656">
      <w:pPr>
        <w:pStyle w:val="bullet"/>
        <w:numPr>
          <w:ilvl w:val="1"/>
          <w:numId w:val="26"/>
        </w:numPr>
        <w:ind w:firstLine="400"/>
      </w:pPr>
      <w:r>
        <w:t>FFS: further usage scenarios</w:t>
      </w:r>
    </w:p>
    <w:p w14:paraId="0121866C" w14:textId="77777777" w:rsidR="00B16656" w:rsidRPr="008D75EB" w:rsidRDefault="00B16656" w:rsidP="00B16656">
      <w:pPr>
        <w:pStyle w:val="bullet"/>
        <w:numPr>
          <w:ilvl w:val="0"/>
          <w:numId w:val="0"/>
        </w:numPr>
        <w:ind w:left="1120"/>
      </w:pPr>
    </w:p>
    <w:p w14:paraId="4A5C010C" w14:textId="768ABAA3" w:rsidR="00B16656" w:rsidRDefault="00B16656" w:rsidP="00B16656">
      <w:pPr>
        <w:rPr>
          <w:b/>
          <w:lang w:val="en-GB" w:eastAsia="zh-CN"/>
        </w:rPr>
      </w:pPr>
      <w:r>
        <w:t>In RAN1#94, the following discussion point arose during feature-lead discussions on DL signals and channels</w:t>
      </w:r>
      <w:r w:rsidR="00F33B94">
        <w:t xml:space="preserve"> </w:t>
      </w:r>
      <w:r w:rsidR="00F33B94">
        <w:fldChar w:fldCharType="begin"/>
      </w:r>
      <w:r w:rsidR="00F33B94">
        <w:instrText xml:space="preserve"> REF _Ref525569111 \r \h </w:instrText>
      </w:r>
      <w:r w:rsidR="00F33B94">
        <w:fldChar w:fldCharType="separate"/>
      </w:r>
      <w:r w:rsidR="00F33B94">
        <w:t>[3]</w:t>
      </w:r>
      <w:r w:rsidR="00F33B94">
        <w:fldChar w:fldCharType="end"/>
      </w:r>
      <w:r>
        <w:t>:</w:t>
      </w:r>
      <w:r w:rsidR="00BC07D6">
        <w:br/>
      </w:r>
    </w:p>
    <w:p w14:paraId="2BB9798B" w14:textId="0578964D" w:rsidR="00B16656" w:rsidRPr="00B16656" w:rsidRDefault="00B16656" w:rsidP="00B16656">
      <w:pPr>
        <w:rPr>
          <w:lang w:val="en-GB" w:eastAsia="zh-CN"/>
        </w:rPr>
      </w:pPr>
      <w:r w:rsidRPr="00B16656">
        <w:rPr>
          <w:highlight w:val="yellow"/>
          <w:lang w:val="en-GB" w:eastAsia="zh-CN"/>
        </w:rPr>
        <w:t>Proposal:</w:t>
      </w:r>
    </w:p>
    <w:p w14:paraId="36C4CF10" w14:textId="46A10E96" w:rsidR="00B16656" w:rsidRPr="00B16656" w:rsidRDefault="00B16656" w:rsidP="00B16656">
      <w:pPr>
        <w:rPr>
          <w:lang w:val="en-GB" w:eastAsia="zh-CN"/>
        </w:rPr>
      </w:pPr>
      <w:r w:rsidRPr="00B16656">
        <w:rPr>
          <w:lang w:val="en-GB" w:eastAsia="zh-CN"/>
        </w:rPr>
        <w:t>Refine the RAN1#93 agreement as follows:</w:t>
      </w:r>
    </w:p>
    <w:p w14:paraId="37485A13" w14:textId="77777777" w:rsidR="00B16656" w:rsidRPr="00B16656" w:rsidRDefault="00B16656" w:rsidP="00B16656">
      <w:pPr>
        <w:pStyle w:val="ListParagraph"/>
        <w:numPr>
          <w:ilvl w:val="0"/>
          <w:numId w:val="27"/>
        </w:numPr>
        <w:snapToGrid w:val="0"/>
        <w:spacing w:before="0" w:after="0"/>
        <w:contextualSpacing w:val="0"/>
        <w:jc w:val="left"/>
        <w:rPr>
          <w:lang w:val="en-GB" w:eastAsia="zh-CN"/>
        </w:rPr>
      </w:pPr>
      <w:r w:rsidRPr="00B16656">
        <w:rPr>
          <w:lang w:val="en-GB" w:eastAsia="zh-CN"/>
        </w:rPr>
        <w:t>Benefits of using a signal that facilitates its detection with low complexity can be investigated. Study which signal(s) as part of a DL TXOP serves/improves one or more of the following</w:t>
      </w:r>
    </w:p>
    <w:p w14:paraId="6DB46CC2" w14:textId="77777777" w:rsidR="00B16656" w:rsidRPr="00B16656" w:rsidRDefault="00B16656" w:rsidP="00B16656">
      <w:pPr>
        <w:pStyle w:val="ListParagraph"/>
        <w:numPr>
          <w:ilvl w:val="1"/>
          <w:numId w:val="27"/>
        </w:numPr>
        <w:snapToGrid w:val="0"/>
        <w:spacing w:before="0" w:after="0"/>
        <w:contextualSpacing w:val="0"/>
        <w:jc w:val="left"/>
        <w:rPr>
          <w:lang w:val="en-GB" w:eastAsia="zh-CN"/>
        </w:rPr>
      </w:pPr>
      <w:r w:rsidRPr="00B16656">
        <w:rPr>
          <w:lang w:val="en-GB" w:eastAsia="zh-CN"/>
        </w:rPr>
        <w:t>Serving cell transmission burst acquisition</w:t>
      </w:r>
    </w:p>
    <w:p w14:paraId="3DBD30DC" w14:textId="77777777" w:rsidR="00B16656" w:rsidRPr="00B16656" w:rsidRDefault="00B16656" w:rsidP="00B16656">
      <w:pPr>
        <w:pStyle w:val="ListParagraph"/>
        <w:numPr>
          <w:ilvl w:val="2"/>
          <w:numId w:val="27"/>
        </w:numPr>
        <w:snapToGrid w:val="0"/>
        <w:spacing w:before="0" w:after="0"/>
        <w:contextualSpacing w:val="0"/>
        <w:jc w:val="left"/>
        <w:rPr>
          <w:lang w:val="en-GB" w:eastAsia="zh-CN"/>
        </w:rPr>
      </w:pPr>
      <w:r w:rsidRPr="00B16656">
        <w:rPr>
          <w:lang w:val="en-GB" w:eastAsia="zh-CN"/>
        </w:rPr>
        <w:t>E.g. for AGC/AFC</w:t>
      </w:r>
    </w:p>
    <w:p w14:paraId="1E082E6F" w14:textId="77777777" w:rsidR="00B16656" w:rsidRPr="00B16656" w:rsidRDefault="00B16656" w:rsidP="00B16656">
      <w:pPr>
        <w:pStyle w:val="ListParagraph"/>
        <w:numPr>
          <w:ilvl w:val="1"/>
          <w:numId w:val="27"/>
        </w:numPr>
        <w:snapToGrid w:val="0"/>
        <w:spacing w:before="0" w:after="0"/>
        <w:contextualSpacing w:val="0"/>
        <w:jc w:val="left"/>
        <w:rPr>
          <w:lang w:val="en-GB" w:eastAsia="zh-CN"/>
        </w:rPr>
      </w:pPr>
      <w:r w:rsidRPr="00B16656">
        <w:rPr>
          <w:lang w:val="en-GB" w:eastAsia="zh-CN"/>
        </w:rPr>
        <w:t>Serving cell DL transmission identification</w:t>
      </w:r>
    </w:p>
    <w:p w14:paraId="3AEA08E1"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UE power saving</w:t>
      </w:r>
    </w:p>
    <w:p w14:paraId="3F636E30"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Improved coexistence</w:t>
      </w:r>
    </w:p>
    <w:p w14:paraId="64870818"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Spatial reuse at least within the same operator network</w:t>
      </w:r>
    </w:p>
    <w:p w14:paraId="2B4E66B3"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FFS: further usage scenarios</w:t>
      </w:r>
    </w:p>
    <w:p w14:paraId="79C69CAB" w14:textId="77777777" w:rsidR="00B16656" w:rsidRPr="00B16656" w:rsidRDefault="00B16656" w:rsidP="00B16656">
      <w:pPr>
        <w:ind w:left="1080"/>
        <w:rPr>
          <w:lang w:val="en-GB" w:eastAsia="zh-CN"/>
        </w:rPr>
      </w:pPr>
      <w:r w:rsidRPr="00B16656">
        <w:rPr>
          <w:lang w:val="en-GB" w:eastAsia="zh-CN"/>
        </w:rPr>
        <w:t>Note: To be discussed if such a signal is present in all DL TXOPs or only in parts</w:t>
      </w:r>
    </w:p>
    <w:p w14:paraId="53753C70" w14:textId="77777777" w:rsidR="00B16656" w:rsidRPr="00B16656" w:rsidRDefault="00B16656" w:rsidP="00B16656">
      <w:pPr>
        <w:pStyle w:val="ListParagraph"/>
        <w:numPr>
          <w:ilvl w:val="0"/>
          <w:numId w:val="28"/>
        </w:numPr>
        <w:snapToGrid w:val="0"/>
        <w:spacing w:before="0" w:after="0"/>
        <w:contextualSpacing w:val="0"/>
        <w:jc w:val="left"/>
        <w:rPr>
          <w:lang w:val="en-GB" w:eastAsia="zh-CN"/>
        </w:rPr>
      </w:pPr>
      <w:r w:rsidRPr="00B16656">
        <w:rPr>
          <w:lang w:val="en-GB" w:eastAsia="zh-CN"/>
        </w:rPr>
        <w:t>Candidates</w:t>
      </w:r>
    </w:p>
    <w:p w14:paraId="539C7951"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Existing NR signal(s) with potential enhancements, e.g.</w:t>
      </w:r>
    </w:p>
    <w:p w14:paraId="34E6F018" w14:textId="77777777" w:rsidR="00B16656" w:rsidRPr="00B16656" w:rsidRDefault="00B16656" w:rsidP="00B16656">
      <w:pPr>
        <w:pStyle w:val="ListParagraph"/>
        <w:numPr>
          <w:ilvl w:val="2"/>
          <w:numId w:val="28"/>
        </w:numPr>
        <w:snapToGrid w:val="0"/>
        <w:spacing w:before="0" w:after="0"/>
        <w:contextualSpacing w:val="0"/>
        <w:jc w:val="left"/>
        <w:rPr>
          <w:lang w:val="en-GB" w:eastAsia="zh-CN"/>
        </w:rPr>
      </w:pPr>
      <w:r w:rsidRPr="00B16656">
        <w:rPr>
          <w:lang w:val="en-GB" w:eastAsia="zh-CN"/>
        </w:rPr>
        <w:t>PSS/SSS</w:t>
      </w:r>
    </w:p>
    <w:p w14:paraId="1A959021"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Based on WiFi 802.11a preamble</w:t>
      </w:r>
    </w:p>
    <w:p w14:paraId="76C6F96F" w14:textId="77777777" w:rsidR="00B16656" w:rsidRPr="00B16656" w:rsidRDefault="00B16656" w:rsidP="00B16656">
      <w:pPr>
        <w:pStyle w:val="ListParagraph"/>
        <w:numPr>
          <w:ilvl w:val="1"/>
          <w:numId w:val="28"/>
        </w:numPr>
        <w:snapToGrid w:val="0"/>
        <w:spacing w:before="0" w:after="0"/>
        <w:contextualSpacing w:val="0"/>
        <w:jc w:val="left"/>
        <w:rPr>
          <w:lang w:val="en-GB" w:eastAsia="zh-CN"/>
        </w:rPr>
      </w:pPr>
      <w:r w:rsidRPr="00B16656">
        <w:rPr>
          <w:lang w:val="en-GB" w:eastAsia="zh-CN"/>
        </w:rPr>
        <w:t>Other signal(s)</w:t>
      </w:r>
    </w:p>
    <w:p w14:paraId="644AC0F2" w14:textId="438F3824" w:rsidR="004D58F6" w:rsidRDefault="004D58F6" w:rsidP="00B16656">
      <w:pPr>
        <w:pStyle w:val="maintext"/>
        <w:ind w:firstLineChars="0" w:firstLine="0"/>
        <w:jc w:val="left"/>
        <w:rPr>
          <w:rFonts w:ascii="Calibri" w:hAnsi="Calibri"/>
        </w:rPr>
      </w:pPr>
    </w:p>
    <w:p w14:paraId="0D0B1DCF" w14:textId="5EB1D8B1" w:rsidR="0058113E" w:rsidRDefault="00674023" w:rsidP="004D58F6">
      <w:pPr>
        <w:pStyle w:val="maintext"/>
        <w:ind w:firstLineChars="0" w:firstLine="0"/>
        <w:rPr>
          <w:rFonts w:ascii="Calibri" w:hAnsi="Calibri"/>
        </w:rPr>
      </w:pPr>
      <w:r>
        <w:rPr>
          <w:rFonts w:ascii="Calibri" w:hAnsi="Calibri"/>
        </w:rPr>
        <w:t xml:space="preserve">No further progress was made on the UE power saving aspect in RAN1#94BIS. </w:t>
      </w:r>
      <w:r w:rsidR="00B359FB">
        <w:rPr>
          <w:rFonts w:ascii="Calibri" w:hAnsi="Calibri"/>
        </w:rPr>
        <w:t xml:space="preserve">In this contribution, we examine </w:t>
      </w:r>
      <w:r w:rsidR="00F33B94">
        <w:rPr>
          <w:rFonts w:ascii="Calibri" w:hAnsi="Calibri"/>
        </w:rPr>
        <w:t xml:space="preserve">the </w:t>
      </w:r>
      <w:r w:rsidR="00440C40">
        <w:rPr>
          <w:rFonts w:ascii="Calibri" w:hAnsi="Calibri"/>
        </w:rPr>
        <w:t>role of an</w:t>
      </w:r>
      <w:r>
        <w:rPr>
          <w:rFonts w:ascii="Calibri" w:hAnsi="Calibri"/>
        </w:rPr>
        <w:t xml:space="preserve"> </w:t>
      </w:r>
      <w:r w:rsidR="00F33B94">
        <w:rPr>
          <w:rFonts w:ascii="Calibri" w:hAnsi="Calibri"/>
        </w:rPr>
        <w:t>initial signal</w:t>
      </w:r>
      <w:r>
        <w:rPr>
          <w:rFonts w:ascii="Calibri" w:hAnsi="Calibri"/>
        </w:rPr>
        <w:t xml:space="preserve"> in UE power saving</w:t>
      </w:r>
      <w:r w:rsidR="00B359FB">
        <w:rPr>
          <w:rFonts w:ascii="Calibri" w:hAnsi="Calibri"/>
        </w:rPr>
        <w:t>.</w:t>
      </w:r>
    </w:p>
    <w:p w14:paraId="5C44AC42" w14:textId="77777777" w:rsidR="00F33B94" w:rsidRDefault="00F33B94" w:rsidP="004D58F6">
      <w:pPr>
        <w:pStyle w:val="maintext"/>
        <w:ind w:firstLineChars="0" w:firstLine="0"/>
        <w:rPr>
          <w:rFonts w:ascii="Calibri" w:hAnsi="Calibri"/>
        </w:rPr>
      </w:pPr>
    </w:p>
    <w:p w14:paraId="7E833F0D" w14:textId="3169CC5D" w:rsidR="00B94AAD" w:rsidRDefault="00F33B94" w:rsidP="00257F9A">
      <w:pPr>
        <w:pStyle w:val="Heading1"/>
      </w:pPr>
      <w:r>
        <w:lastRenderedPageBreak/>
        <w:t>Initial Signal</w:t>
      </w:r>
      <w:r w:rsidR="00674023">
        <w:t xml:space="preserve"> and Power Saving</w:t>
      </w:r>
      <w:r w:rsidR="00257F9A">
        <w:t xml:space="preserve"> </w:t>
      </w:r>
    </w:p>
    <w:p w14:paraId="754B61CC" w14:textId="77777777" w:rsidR="00B5169C" w:rsidRDefault="00B5169C" w:rsidP="00A921DD">
      <w:pPr>
        <w:rPr>
          <w:b/>
        </w:rPr>
      </w:pPr>
    </w:p>
    <w:p w14:paraId="576CEA20" w14:textId="23B04449" w:rsidR="008C27C3" w:rsidRDefault="00674023" w:rsidP="008C27C3">
      <w:pPr>
        <w:pStyle w:val="Heading2"/>
      </w:pPr>
      <w:r>
        <w:t>Power Saving Aspects</w:t>
      </w:r>
    </w:p>
    <w:p w14:paraId="3C38651C" w14:textId="1B567B63" w:rsidR="00674023" w:rsidRDefault="00674023" w:rsidP="00575CB3">
      <w:r>
        <w:t>In order to assess the applicability of power saving using an initial signal (whether NR-U-based or 802.11a), it is necessary to take a holistic approach and consider all power saving aspects together. For a NR-U UE, the following are the major contributors to power consumption:</w:t>
      </w:r>
    </w:p>
    <w:p w14:paraId="77E15A6A" w14:textId="6BF1EF6C" w:rsidR="00674023" w:rsidRDefault="00674023" w:rsidP="00674023">
      <w:pPr>
        <w:pStyle w:val="ListParagraph"/>
        <w:numPr>
          <w:ilvl w:val="0"/>
          <w:numId w:val="33"/>
        </w:numPr>
      </w:pPr>
      <w:r>
        <w:t>UL data/control/RS transmissions</w:t>
      </w:r>
    </w:p>
    <w:p w14:paraId="4A508AA8" w14:textId="4478B64F" w:rsidR="00674023" w:rsidRDefault="00674023" w:rsidP="00674023">
      <w:pPr>
        <w:pStyle w:val="ListParagraph"/>
        <w:numPr>
          <w:ilvl w:val="0"/>
          <w:numId w:val="33"/>
        </w:numPr>
      </w:pPr>
      <w:r>
        <w:t>Monitoring and decoding attempts of DL control channels</w:t>
      </w:r>
      <w:r w:rsidR="00684D2E">
        <w:t xml:space="preserve"> from serving cell(s)</w:t>
      </w:r>
    </w:p>
    <w:p w14:paraId="4A6E4248" w14:textId="30E26F62" w:rsidR="00674023" w:rsidRDefault="00684D2E" w:rsidP="00674023">
      <w:pPr>
        <w:pStyle w:val="ListParagraph"/>
        <w:numPr>
          <w:ilvl w:val="0"/>
          <w:numId w:val="33"/>
        </w:numPr>
      </w:pPr>
      <w:r>
        <w:t>Wideband sensing for CCA/LBT</w:t>
      </w:r>
    </w:p>
    <w:p w14:paraId="5C3ADB7F" w14:textId="74BE70BB" w:rsidR="0031143E" w:rsidRDefault="0031143E" w:rsidP="00674023">
      <w:pPr>
        <w:pStyle w:val="ListParagraph"/>
        <w:numPr>
          <w:ilvl w:val="0"/>
          <w:numId w:val="33"/>
        </w:numPr>
      </w:pPr>
      <w:r>
        <w:t>Serving cell(s) CSI measurements and RLM</w:t>
      </w:r>
    </w:p>
    <w:p w14:paraId="79D7DCBD" w14:textId="65F6D25C" w:rsidR="00684D2E" w:rsidRDefault="00684D2E" w:rsidP="00674023">
      <w:pPr>
        <w:pStyle w:val="ListParagraph"/>
        <w:numPr>
          <w:ilvl w:val="0"/>
          <w:numId w:val="33"/>
        </w:numPr>
      </w:pPr>
      <w:r>
        <w:t xml:space="preserve">Monitoring other cells for RRM measurements </w:t>
      </w:r>
    </w:p>
    <w:p w14:paraId="0A5E6CB6" w14:textId="77777777" w:rsidR="00674023" w:rsidRDefault="00674023" w:rsidP="00575CB3"/>
    <w:p w14:paraId="41EF683C" w14:textId="77777777" w:rsidR="00440C40" w:rsidRDefault="00684D2E" w:rsidP="00575CB3">
      <w:r>
        <w:t xml:space="preserve">The first factor, i.e., energy expenditure due to UL transmissions, is only indirectly impacted by the initial signal in so far as any potential reduction in retransmissions due to improved coexistence. </w:t>
      </w:r>
    </w:p>
    <w:p w14:paraId="53EE4BDE" w14:textId="75253F0E" w:rsidR="00674023" w:rsidRDefault="00684D2E" w:rsidP="00575CB3">
      <w:r>
        <w:t>The second factor triggered considerable discussion regarding the use of the initial signal to reduce</w:t>
      </w:r>
      <w:r w:rsidR="00440C40">
        <w:t xml:space="preserve"> blind PDCCH decoding attempts. One candidate solution is different PDCCH monitoring patterns in different parts of a COT or outside a COT, for example</w:t>
      </w:r>
      <w:r w:rsidR="00F062D1">
        <w:t>,</w:t>
      </w:r>
      <w:r w:rsidR="00440C40">
        <w:t xml:space="preserve"> more frequent monitoring outside the COT and less frequent inside. Detecting the start of the COT via the initial signal can trigger the required change in monitoring.</w:t>
      </w:r>
      <w:r w:rsidR="00F062D1">
        <w:t xml:space="preserve"> For this to occur, the initial signal should indicate the serving cell ID and duration of the COT. However, using PDCCH to indicate this information is counter-productive since UEs will simply switch to blind decoding attempts of this </w:t>
      </w:r>
      <w:r w:rsidR="00F360B2">
        <w:t>(</w:t>
      </w:r>
      <w:r w:rsidR="00F062D1">
        <w:t>new</w:t>
      </w:r>
      <w:r w:rsidR="00F360B2">
        <w:t>)</w:t>
      </w:r>
      <w:r w:rsidR="00F062D1">
        <w:t xml:space="preserve"> DCI Format. The 802.11a preamble can be used to at </w:t>
      </w:r>
      <w:r w:rsidR="00F360B2">
        <w:t>least indicate the COT duration. In addition, either the preamble</w:t>
      </w:r>
      <w:r w:rsidR="00F062D1">
        <w:t xml:space="preserve"> spare and fixed bits would have to be modified to indicate additional RAT</w:t>
      </w:r>
      <w:r w:rsidR="00F360B2">
        <w:t xml:space="preserve">/PCI information, or the 802.11a preamble can be accompanied by PSS/SSS to form the initial signal. </w:t>
      </w:r>
      <w:r w:rsidR="00F062D1">
        <w:t>Finally, note that the SI on UE power saving is also investigating solutions on i</w:t>
      </w:r>
      <w:r w:rsidR="00F062D1" w:rsidRPr="00F062D1">
        <w:t>ndication to change PDCCH monitoring behavior, e.g., to monitor, to skip, to adapt to different PDCCH parameters</w:t>
      </w:r>
      <w:r w:rsidR="00F062D1">
        <w:t>.</w:t>
      </w:r>
    </w:p>
    <w:p w14:paraId="5A8BACAD" w14:textId="77777777" w:rsidR="00674023" w:rsidRDefault="00674023" w:rsidP="00575CB3"/>
    <w:p w14:paraId="16B6D7B5" w14:textId="2E0EE0E4" w:rsidR="004B23C9" w:rsidRDefault="004B23C9" w:rsidP="00575CB3">
      <w:pPr>
        <w:rPr>
          <w:b/>
        </w:rPr>
      </w:pPr>
      <w:r w:rsidRPr="004B23C9">
        <w:rPr>
          <w:b/>
        </w:rPr>
        <w:t xml:space="preserve">Proposal 1: To reduce PDCCH blind decoding attempts, 802.11a preamble can be used to at least indicate the </w:t>
      </w:r>
      <w:r>
        <w:rPr>
          <w:b/>
        </w:rPr>
        <w:t xml:space="preserve">start of a </w:t>
      </w:r>
      <w:r w:rsidRPr="004B23C9">
        <w:rPr>
          <w:b/>
        </w:rPr>
        <w:t xml:space="preserve">COT </w:t>
      </w:r>
      <w:r>
        <w:rPr>
          <w:b/>
        </w:rPr>
        <w:t xml:space="preserve">and its </w:t>
      </w:r>
      <w:r w:rsidRPr="004B23C9">
        <w:rPr>
          <w:b/>
        </w:rPr>
        <w:t>duration. In addition, either the preamble spare and fixed bits may be modified to indicate additional RAT/PCI information, or the 802.11a preamble can be accompanied by PSS/SSS to form the initial signal.</w:t>
      </w:r>
    </w:p>
    <w:p w14:paraId="6ACD650E" w14:textId="77777777" w:rsidR="00DA4467" w:rsidRDefault="00DA4467" w:rsidP="00575CB3">
      <w:pPr>
        <w:rPr>
          <w:b/>
        </w:rPr>
      </w:pPr>
    </w:p>
    <w:p w14:paraId="5A962CF9" w14:textId="529A514B" w:rsidR="0031143E" w:rsidRDefault="00DC1855" w:rsidP="00575CB3">
      <w:r w:rsidRPr="00DC1855">
        <w:t>Next, consider the impact of CCA and LBT.</w:t>
      </w:r>
      <w:r>
        <w:t xml:space="preserve"> There is a misconception that NR-U UL transmissions will mostly be scheduled, and that not much time needs to be spent on CCA</w:t>
      </w:r>
      <w:r w:rsidR="0031143E">
        <w:t xml:space="preserve"> attempts since they occur just before the UL is transmitted. </w:t>
      </w:r>
      <w:r w:rsidR="00E0345B">
        <w:t>T</w:t>
      </w:r>
      <w:r w:rsidR="0031143E">
        <w:t>here are a number of UL transmissions that are not pre-scheduled and require frequent CCA monitoring, such as:</w:t>
      </w:r>
    </w:p>
    <w:p w14:paraId="2E38A33E" w14:textId="7579C9AD" w:rsidR="00DC1855" w:rsidRDefault="0031143E" w:rsidP="0031143E">
      <w:pPr>
        <w:pStyle w:val="ListParagraph"/>
        <w:numPr>
          <w:ilvl w:val="0"/>
          <w:numId w:val="34"/>
        </w:numPr>
      </w:pPr>
      <w:r>
        <w:t>PRACH for initial access/timing realignment</w:t>
      </w:r>
    </w:p>
    <w:p w14:paraId="48F7A49A" w14:textId="5F728CB9" w:rsidR="0031143E" w:rsidRDefault="0031143E" w:rsidP="0031143E">
      <w:pPr>
        <w:pStyle w:val="ListParagraph"/>
        <w:numPr>
          <w:ilvl w:val="0"/>
          <w:numId w:val="34"/>
        </w:numPr>
      </w:pPr>
      <w:r>
        <w:t>Scheduling request</w:t>
      </w:r>
    </w:p>
    <w:p w14:paraId="76AD3CB9" w14:textId="410671EF" w:rsidR="0031143E" w:rsidRDefault="00E0345B" w:rsidP="0031143E">
      <w:pPr>
        <w:pStyle w:val="ListParagraph"/>
        <w:numPr>
          <w:ilvl w:val="0"/>
          <w:numId w:val="34"/>
        </w:numPr>
      </w:pPr>
      <w:r>
        <w:t xml:space="preserve">Opportunistic </w:t>
      </w:r>
      <w:r w:rsidR="0031143E">
        <w:t>HARQ/CSI feedback outside of COT</w:t>
      </w:r>
    </w:p>
    <w:p w14:paraId="052D848A" w14:textId="3E4250E3" w:rsidR="00E0345B" w:rsidRDefault="00E0345B" w:rsidP="0031143E">
      <w:pPr>
        <w:pStyle w:val="ListParagraph"/>
        <w:numPr>
          <w:ilvl w:val="0"/>
          <w:numId w:val="34"/>
        </w:numPr>
      </w:pPr>
      <w:r>
        <w:t>AUL PUSCH</w:t>
      </w:r>
    </w:p>
    <w:p w14:paraId="1DC1F5BE" w14:textId="34FD306C" w:rsidR="00E0345B" w:rsidRDefault="00E0345B" w:rsidP="0031143E">
      <w:pPr>
        <w:pStyle w:val="ListParagraph"/>
        <w:numPr>
          <w:ilvl w:val="0"/>
          <w:numId w:val="34"/>
        </w:numPr>
      </w:pPr>
      <w:r>
        <w:t>Periodic SRS (if supported)</w:t>
      </w:r>
    </w:p>
    <w:p w14:paraId="1260F642" w14:textId="782247F3" w:rsidR="001503EF" w:rsidRPr="00DC1855" w:rsidRDefault="001503EF" w:rsidP="001503EF">
      <w:r>
        <w:t xml:space="preserve">The periodicity and time-domain opportunities for the above transmissions can be very frequent by configuration, for e.g., slot-level periodicity for SR and AUL. </w:t>
      </w:r>
    </w:p>
    <w:p w14:paraId="253A238D" w14:textId="69CCA471" w:rsidR="00440C40" w:rsidRDefault="00440C40" w:rsidP="00575CB3">
      <w:pPr>
        <w:rPr>
          <w:b/>
        </w:rPr>
      </w:pPr>
      <w:r w:rsidRPr="00DA4467">
        <w:rPr>
          <w:b/>
        </w:rPr>
        <w:t>Observation 1: NR-U UEs can potentially spend considerable amount</w:t>
      </w:r>
      <w:r w:rsidR="004B23C9" w:rsidRPr="00DA4467">
        <w:rPr>
          <w:b/>
        </w:rPr>
        <w:t xml:space="preserve">s of time on CCA sensing even </w:t>
      </w:r>
      <w:r w:rsidR="00DA4467">
        <w:rPr>
          <w:b/>
        </w:rPr>
        <w:t>if AUL PUSCH</w:t>
      </w:r>
      <w:r w:rsidR="004B23C9" w:rsidRPr="00DA4467">
        <w:rPr>
          <w:b/>
        </w:rPr>
        <w:t xml:space="preserve"> </w:t>
      </w:r>
      <w:r w:rsidR="00DA4467">
        <w:rPr>
          <w:b/>
        </w:rPr>
        <w:t>is not considered</w:t>
      </w:r>
      <w:r w:rsidRPr="00DA4467">
        <w:rPr>
          <w:b/>
        </w:rPr>
        <w:t>.</w:t>
      </w:r>
    </w:p>
    <w:p w14:paraId="562F20FC" w14:textId="58EDA849" w:rsidR="001503EF" w:rsidRPr="001503EF" w:rsidRDefault="001503EF" w:rsidP="00575CB3">
      <w:r w:rsidRPr="001503EF">
        <w:t>For this reason, the</w:t>
      </w:r>
      <w:r>
        <w:t xml:space="preserve"> indication of on-going channel occupancy via the initial signal will benefit UE power saving by allowing the UE to skip CCA attempts until the channel becomes idle again. This capability is inherent with the 802.11a preamble.</w:t>
      </w:r>
      <w:r w:rsidRPr="001503EF">
        <w:t xml:space="preserve"> </w:t>
      </w:r>
    </w:p>
    <w:p w14:paraId="77FF9346" w14:textId="365275F2" w:rsidR="001F5BBC" w:rsidRDefault="001F5BBC" w:rsidP="00440C40">
      <w:pPr>
        <w:rPr>
          <w:b/>
        </w:rPr>
      </w:pPr>
      <w:r w:rsidRPr="001F5BBC">
        <w:rPr>
          <w:b/>
        </w:rPr>
        <w:t xml:space="preserve">Proposal </w:t>
      </w:r>
      <w:r w:rsidR="001503EF">
        <w:rPr>
          <w:b/>
        </w:rPr>
        <w:t>2</w:t>
      </w:r>
      <w:r w:rsidRPr="001F5BBC">
        <w:rPr>
          <w:b/>
        </w:rPr>
        <w:t>:</w:t>
      </w:r>
      <w:r w:rsidR="002E313B">
        <w:rPr>
          <w:b/>
        </w:rPr>
        <w:t xml:space="preserve"> </w:t>
      </w:r>
      <w:r w:rsidR="001503EF">
        <w:rPr>
          <w:b/>
        </w:rPr>
        <w:t>802.11a preamble-based initial signal can reduce UE power saving due to frequent CCA monitoring by indicating on-going COT.</w:t>
      </w:r>
    </w:p>
    <w:p w14:paraId="14839251" w14:textId="77777777" w:rsidR="001503EF" w:rsidRDefault="001503EF" w:rsidP="00440C40">
      <w:pPr>
        <w:rPr>
          <w:b/>
        </w:rPr>
      </w:pPr>
    </w:p>
    <w:p w14:paraId="1690F942" w14:textId="56BCC19D" w:rsidR="001503EF" w:rsidRPr="001503EF" w:rsidRDefault="001503EF" w:rsidP="00440C40">
      <w:r w:rsidRPr="001503EF">
        <w:lastRenderedPageBreak/>
        <w:t xml:space="preserve">Finally, </w:t>
      </w:r>
      <w:r>
        <w:t>serving cell and RRM measurements in NR-U will be based on SSB or CSI-RS contained in the DRS</w:t>
      </w:r>
      <w:r w:rsidR="0099395B">
        <w:t xml:space="preserve"> or DRS multiplexed with unicast data</w:t>
      </w:r>
      <w:r>
        <w:t xml:space="preserve">, for the most part. </w:t>
      </w:r>
      <w:r w:rsidR="0099395B">
        <w:t>Similar to the second factor, quic</w:t>
      </w:r>
      <w:r w:rsidR="000F5533">
        <w:t>k identification of the cell transmitting DRS is beneficial, which can already be achieved with current DRS, or if the 802.11a initial signal is augmented with RAT/PCI as described previously. Note that the SI on UE power saving is also investigating solutions for RRM measurement power savings.</w:t>
      </w:r>
    </w:p>
    <w:p w14:paraId="3F891BBD" w14:textId="77777777" w:rsidR="00D219F5" w:rsidRPr="007530D2" w:rsidRDefault="00D219F5" w:rsidP="00FD0831"/>
    <w:p w14:paraId="1F78EFE1" w14:textId="04B89D57" w:rsidR="003705DD" w:rsidRDefault="003705DD" w:rsidP="00AA62E3">
      <w:pPr>
        <w:pStyle w:val="Heading1"/>
      </w:pPr>
      <w:r>
        <w:t>Summary</w:t>
      </w:r>
    </w:p>
    <w:p w14:paraId="4293B9F9" w14:textId="40284754" w:rsidR="0053586B" w:rsidRDefault="003705DD" w:rsidP="0053586B">
      <w:r>
        <w:t>In this</w:t>
      </w:r>
      <w:r w:rsidR="00575CB3">
        <w:t xml:space="preserve"> contribution</w:t>
      </w:r>
      <w:r w:rsidR="00877963">
        <w:t xml:space="preserve"> we examined </w:t>
      </w:r>
      <w:r w:rsidR="00440C40">
        <w:t>the role of a NR-U initial signal in UE power saving</w:t>
      </w:r>
      <w:r w:rsidR="00575CB3">
        <w:t>. The following observations and proposals ensued.</w:t>
      </w:r>
    </w:p>
    <w:p w14:paraId="3D6D02D3" w14:textId="77777777" w:rsidR="000F5533" w:rsidRDefault="000F5533" w:rsidP="000F5533">
      <w:pPr>
        <w:rPr>
          <w:b/>
        </w:rPr>
      </w:pPr>
      <w:r w:rsidRPr="004B23C9">
        <w:rPr>
          <w:b/>
        </w:rPr>
        <w:t xml:space="preserve">Proposal 1: To reduce PDCCH blind decoding attempts, 802.11a preamble can be used to at least indicate the </w:t>
      </w:r>
      <w:r>
        <w:rPr>
          <w:b/>
        </w:rPr>
        <w:t xml:space="preserve">start of a </w:t>
      </w:r>
      <w:r w:rsidRPr="004B23C9">
        <w:rPr>
          <w:b/>
        </w:rPr>
        <w:t xml:space="preserve">COT </w:t>
      </w:r>
      <w:r>
        <w:rPr>
          <w:b/>
        </w:rPr>
        <w:t xml:space="preserve">and its </w:t>
      </w:r>
      <w:r w:rsidRPr="004B23C9">
        <w:rPr>
          <w:b/>
        </w:rPr>
        <w:t>duration. In addition, either the preamble spare and fixed bits may be modified to indicate additional RAT/PCI information, or the 802.11a preamble can be accompanied by PSS/SSS to form the initial signal.</w:t>
      </w:r>
    </w:p>
    <w:p w14:paraId="4827B1EF" w14:textId="77777777" w:rsidR="000F5533" w:rsidRDefault="000F5533" w:rsidP="000F5533">
      <w:pPr>
        <w:rPr>
          <w:b/>
        </w:rPr>
      </w:pPr>
      <w:r w:rsidRPr="00DA4467">
        <w:rPr>
          <w:b/>
        </w:rPr>
        <w:t xml:space="preserve">Observation 1: NR-U UEs can potentially spend considerable amounts of time on CCA sensing even </w:t>
      </w:r>
      <w:r>
        <w:rPr>
          <w:b/>
        </w:rPr>
        <w:t>if AUL PUSCH</w:t>
      </w:r>
      <w:r w:rsidRPr="00DA4467">
        <w:rPr>
          <w:b/>
        </w:rPr>
        <w:t xml:space="preserve"> </w:t>
      </w:r>
      <w:r>
        <w:rPr>
          <w:b/>
        </w:rPr>
        <w:t>is not considered</w:t>
      </w:r>
      <w:r w:rsidRPr="00DA4467">
        <w:rPr>
          <w:b/>
        </w:rPr>
        <w:t>.</w:t>
      </w:r>
    </w:p>
    <w:p w14:paraId="3B5C8A1C" w14:textId="77777777" w:rsidR="000F5533" w:rsidRDefault="000F5533" w:rsidP="000F5533">
      <w:pPr>
        <w:rPr>
          <w:b/>
        </w:rPr>
      </w:pPr>
      <w:r w:rsidRPr="001F5BBC">
        <w:rPr>
          <w:b/>
        </w:rPr>
        <w:t xml:space="preserve">Proposal </w:t>
      </w:r>
      <w:r>
        <w:rPr>
          <w:b/>
        </w:rPr>
        <w:t>2</w:t>
      </w:r>
      <w:r w:rsidRPr="001F5BBC">
        <w:rPr>
          <w:b/>
        </w:rPr>
        <w:t>:</w:t>
      </w:r>
      <w:r>
        <w:rPr>
          <w:b/>
        </w:rPr>
        <w:t xml:space="preserve"> 802.11a preamble-based initial signal can reduce UE power saving due to frequent CCA monitoring by indicating on-going COT.</w:t>
      </w:r>
    </w:p>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45F9BF93" w:rsidR="00A921DD"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B16656">
        <w:rPr>
          <w:rFonts w:eastAsia="SimSun"/>
          <w:color w:val="000000"/>
          <w:lang w:eastAsia="zh-CN"/>
        </w:rPr>
        <w:t>3</w:t>
      </w:r>
      <w:r>
        <w:rPr>
          <w:rFonts w:eastAsia="SimSun"/>
          <w:color w:val="000000"/>
          <w:lang w:eastAsia="zh-CN"/>
        </w:rPr>
        <w:t xml:space="preserve">, </w:t>
      </w:r>
      <w:r w:rsidR="00B16656">
        <w:rPr>
          <w:rFonts w:eastAsia="SimSun"/>
          <w:color w:val="000000"/>
          <w:lang w:eastAsia="zh-CN"/>
        </w:rPr>
        <w:t>Busan</w:t>
      </w:r>
      <w:r>
        <w:rPr>
          <w:rFonts w:eastAsia="SimSun"/>
          <w:color w:val="000000"/>
          <w:lang w:eastAsia="zh-CN"/>
        </w:rPr>
        <w:t>.</w:t>
      </w:r>
      <w:bookmarkEnd w:id="3"/>
    </w:p>
    <w:p w14:paraId="193743CB" w14:textId="395514C3" w:rsidR="00B16656" w:rsidRDefault="00B16656" w:rsidP="00B16656">
      <w:pPr>
        <w:pStyle w:val="ListParagraph"/>
        <w:numPr>
          <w:ilvl w:val="0"/>
          <w:numId w:val="15"/>
        </w:numPr>
        <w:spacing w:before="0" w:after="180"/>
        <w:jc w:val="left"/>
        <w:rPr>
          <w:rFonts w:eastAsia="SimSun"/>
          <w:color w:val="000000"/>
          <w:lang w:eastAsia="zh-CN"/>
        </w:rPr>
      </w:pPr>
      <w:bookmarkStart w:id="4" w:name="_Ref525569111"/>
      <w:r w:rsidRPr="00B16656">
        <w:rPr>
          <w:rFonts w:eastAsia="SimSun"/>
          <w:color w:val="000000"/>
          <w:lang w:eastAsia="zh-CN"/>
        </w:rPr>
        <w:t>R1-1809822</w:t>
      </w:r>
      <w:r>
        <w:rPr>
          <w:rFonts w:eastAsia="SimSun"/>
          <w:color w:val="000000"/>
          <w:lang w:eastAsia="zh-CN"/>
        </w:rPr>
        <w:t xml:space="preserve">, </w:t>
      </w:r>
      <w:r w:rsidRPr="00B16656">
        <w:rPr>
          <w:rFonts w:eastAsia="SimSun"/>
          <w:color w:val="000000"/>
          <w:lang w:eastAsia="zh-CN"/>
        </w:rPr>
        <w:t>Feature lead summary for NR-U DL Signals and Channels</w:t>
      </w:r>
      <w:r>
        <w:rPr>
          <w:rFonts w:eastAsia="SimSun"/>
          <w:color w:val="000000"/>
          <w:lang w:eastAsia="zh-CN"/>
        </w:rPr>
        <w:t xml:space="preserve">, </w:t>
      </w:r>
      <w:r w:rsidRPr="00B16656">
        <w:rPr>
          <w:rFonts w:eastAsia="SimSun"/>
          <w:color w:val="000000"/>
          <w:lang w:eastAsia="zh-CN"/>
        </w:rPr>
        <w:t>Motorola Mobility, Lenovo</w:t>
      </w:r>
      <w:bookmarkEnd w:id="4"/>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24074" w14:textId="77777777" w:rsidR="00C01771" w:rsidRDefault="00C01771" w:rsidP="00424124">
      <w:pPr>
        <w:spacing w:before="0" w:after="0"/>
      </w:pPr>
      <w:r>
        <w:separator/>
      </w:r>
    </w:p>
  </w:endnote>
  <w:endnote w:type="continuationSeparator" w:id="0">
    <w:p w14:paraId="192AA699" w14:textId="77777777" w:rsidR="00C01771" w:rsidRDefault="00C0177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C5E72" w14:textId="77777777" w:rsidR="00C01771" w:rsidRDefault="00C01771" w:rsidP="00424124">
      <w:pPr>
        <w:spacing w:before="0" w:after="0"/>
      </w:pPr>
      <w:r>
        <w:separator/>
      </w:r>
    </w:p>
  </w:footnote>
  <w:footnote w:type="continuationSeparator" w:id="0">
    <w:p w14:paraId="6C8BF61E" w14:textId="77777777" w:rsidR="00C01771" w:rsidRDefault="00C0177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A13A4"/>
    <w:multiLevelType w:val="hybridMultilevel"/>
    <w:tmpl w:val="6B8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CF7426"/>
    <w:multiLevelType w:val="hybridMultilevel"/>
    <w:tmpl w:val="6922A13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7E60A6"/>
    <w:multiLevelType w:val="hybridMultilevel"/>
    <w:tmpl w:val="360CBD9E"/>
    <w:lvl w:ilvl="0" w:tplc="CC7EBACA">
      <w:start w:val="1"/>
      <w:numFmt w:val="bullet"/>
      <w:lvlText w:val="•"/>
      <w:lvlJc w:val="left"/>
      <w:pPr>
        <w:tabs>
          <w:tab w:val="num" w:pos="720"/>
        </w:tabs>
        <w:ind w:left="720" w:hanging="360"/>
      </w:pPr>
      <w:rPr>
        <w:rFonts w:ascii="Arial" w:hAnsi="Arial" w:hint="default"/>
      </w:rPr>
    </w:lvl>
    <w:lvl w:ilvl="1" w:tplc="86529BB2">
      <w:start w:val="24"/>
      <w:numFmt w:val="bullet"/>
      <w:lvlText w:val="•"/>
      <w:lvlJc w:val="left"/>
      <w:pPr>
        <w:tabs>
          <w:tab w:val="num" w:pos="1440"/>
        </w:tabs>
        <w:ind w:left="1440" w:hanging="360"/>
      </w:pPr>
      <w:rPr>
        <w:rFonts w:ascii="Arial" w:hAnsi="Arial" w:hint="default"/>
      </w:rPr>
    </w:lvl>
    <w:lvl w:ilvl="2" w:tplc="A886CBC4">
      <w:start w:val="24"/>
      <w:numFmt w:val="bullet"/>
      <w:lvlText w:val="•"/>
      <w:lvlJc w:val="left"/>
      <w:pPr>
        <w:tabs>
          <w:tab w:val="num" w:pos="2160"/>
        </w:tabs>
        <w:ind w:left="2160" w:hanging="360"/>
      </w:pPr>
      <w:rPr>
        <w:rFonts w:ascii="Arial" w:hAnsi="Arial" w:hint="default"/>
      </w:rPr>
    </w:lvl>
    <w:lvl w:ilvl="3" w:tplc="AD66AC2A" w:tentative="1">
      <w:start w:val="1"/>
      <w:numFmt w:val="bullet"/>
      <w:lvlText w:val="•"/>
      <w:lvlJc w:val="left"/>
      <w:pPr>
        <w:tabs>
          <w:tab w:val="num" w:pos="2880"/>
        </w:tabs>
        <w:ind w:left="2880" w:hanging="360"/>
      </w:pPr>
      <w:rPr>
        <w:rFonts w:ascii="Arial" w:hAnsi="Arial" w:hint="default"/>
      </w:rPr>
    </w:lvl>
    <w:lvl w:ilvl="4" w:tplc="64BA9C4A" w:tentative="1">
      <w:start w:val="1"/>
      <w:numFmt w:val="bullet"/>
      <w:lvlText w:val="•"/>
      <w:lvlJc w:val="left"/>
      <w:pPr>
        <w:tabs>
          <w:tab w:val="num" w:pos="3600"/>
        </w:tabs>
        <w:ind w:left="3600" w:hanging="360"/>
      </w:pPr>
      <w:rPr>
        <w:rFonts w:ascii="Arial" w:hAnsi="Arial" w:hint="default"/>
      </w:rPr>
    </w:lvl>
    <w:lvl w:ilvl="5" w:tplc="689CB550" w:tentative="1">
      <w:start w:val="1"/>
      <w:numFmt w:val="bullet"/>
      <w:lvlText w:val="•"/>
      <w:lvlJc w:val="left"/>
      <w:pPr>
        <w:tabs>
          <w:tab w:val="num" w:pos="4320"/>
        </w:tabs>
        <w:ind w:left="4320" w:hanging="360"/>
      </w:pPr>
      <w:rPr>
        <w:rFonts w:ascii="Arial" w:hAnsi="Arial" w:hint="default"/>
      </w:rPr>
    </w:lvl>
    <w:lvl w:ilvl="6" w:tplc="426A3928" w:tentative="1">
      <w:start w:val="1"/>
      <w:numFmt w:val="bullet"/>
      <w:lvlText w:val="•"/>
      <w:lvlJc w:val="left"/>
      <w:pPr>
        <w:tabs>
          <w:tab w:val="num" w:pos="5040"/>
        </w:tabs>
        <w:ind w:left="5040" w:hanging="360"/>
      </w:pPr>
      <w:rPr>
        <w:rFonts w:ascii="Arial" w:hAnsi="Arial" w:hint="default"/>
      </w:rPr>
    </w:lvl>
    <w:lvl w:ilvl="7" w:tplc="00C6F79C" w:tentative="1">
      <w:start w:val="1"/>
      <w:numFmt w:val="bullet"/>
      <w:lvlText w:val="•"/>
      <w:lvlJc w:val="left"/>
      <w:pPr>
        <w:tabs>
          <w:tab w:val="num" w:pos="5760"/>
        </w:tabs>
        <w:ind w:left="5760" w:hanging="360"/>
      </w:pPr>
      <w:rPr>
        <w:rFonts w:ascii="Arial" w:hAnsi="Arial" w:hint="default"/>
      </w:rPr>
    </w:lvl>
    <w:lvl w:ilvl="8" w:tplc="CCD6E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FF6BEF"/>
    <w:multiLevelType w:val="hybridMultilevel"/>
    <w:tmpl w:val="101EA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5FC7216E"/>
    <w:multiLevelType w:val="hybridMultilevel"/>
    <w:tmpl w:val="61241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7E281115"/>
    <w:multiLevelType w:val="hybridMultilevel"/>
    <w:tmpl w:val="2C6C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4"/>
  </w:num>
  <w:num w:numId="4">
    <w:abstractNumId w:val="2"/>
  </w:num>
  <w:num w:numId="5">
    <w:abstractNumId w:val="29"/>
  </w:num>
  <w:num w:numId="6">
    <w:abstractNumId w:val="27"/>
  </w:num>
  <w:num w:numId="7">
    <w:abstractNumId w:val="3"/>
  </w:num>
  <w:num w:numId="8">
    <w:abstractNumId w:val="12"/>
  </w:num>
  <w:num w:numId="9">
    <w:abstractNumId w:val="28"/>
  </w:num>
  <w:num w:numId="10">
    <w:abstractNumId w:val="8"/>
  </w:num>
  <w:num w:numId="11">
    <w:abstractNumId w:val="7"/>
  </w:num>
  <w:num w:numId="12">
    <w:abstractNumId w:val="13"/>
  </w:num>
  <w:num w:numId="13">
    <w:abstractNumId w:val="17"/>
  </w:num>
  <w:num w:numId="14">
    <w:abstractNumId w:val="22"/>
  </w:num>
  <w:num w:numId="15">
    <w:abstractNumId w:val="4"/>
  </w:num>
  <w:num w:numId="16">
    <w:abstractNumId w:val="14"/>
  </w:num>
  <w:num w:numId="17">
    <w:abstractNumId w:val="24"/>
  </w:num>
  <w:num w:numId="18">
    <w:abstractNumId w:val="24"/>
  </w:num>
  <w:num w:numId="19">
    <w:abstractNumId w:val="16"/>
  </w:num>
  <w:num w:numId="20">
    <w:abstractNumId w:val="9"/>
  </w:num>
  <w:num w:numId="21">
    <w:abstractNumId w:val="1"/>
  </w:num>
  <w:num w:numId="22">
    <w:abstractNumId w:val="23"/>
  </w:num>
  <w:num w:numId="23">
    <w:abstractNumId w:val="26"/>
  </w:num>
  <w:num w:numId="24">
    <w:abstractNumId w:val="31"/>
  </w:num>
  <w:num w:numId="25">
    <w:abstractNumId w:val="11"/>
  </w:num>
  <w:num w:numId="26">
    <w:abstractNumId w:val="15"/>
  </w:num>
  <w:num w:numId="27">
    <w:abstractNumId w:val="6"/>
  </w:num>
  <w:num w:numId="28">
    <w:abstractNumId w:val="0"/>
  </w:num>
  <w:num w:numId="29">
    <w:abstractNumId w:val="30"/>
  </w:num>
  <w:num w:numId="30">
    <w:abstractNumId w:val="10"/>
  </w:num>
  <w:num w:numId="31">
    <w:abstractNumId w:val="20"/>
  </w:num>
  <w:num w:numId="32">
    <w:abstractNumId w:val="21"/>
  </w:num>
  <w:num w:numId="33">
    <w:abstractNumId w:val="25"/>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343C4"/>
    <w:rsid w:val="00043E82"/>
    <w:rsid w:val="00045166"/>
    <w:rsid w:val="000463E4"/>
    <w:rsid w:val="00050ECD"/>
    <w:rsid w:val="00051B4B"/>
    <w:rsid w:val="0005287A"/>
    <w:rsid w:val="00053101"/>
    <w:rsid w:val="000541BF"/>
    <w:rsid w:val="000550BC"/>
    <w:rsid w:val="000643FA"/>
    <w:rsid w:val="00064A90"/>
    <w:rsid w:val="000730C9"/>
    <w:rsid w:val="0007575F"/>
    <w:rsid w:val="00075C88"/>
    <w:rsid w:val="00075FD1"/>
    <w:rsid w:val="0007622C"/>
    <w:rsid w:val="00085800"/>
    <w:rsid w:val="000865E3"/>
    <w:rsid w:val="000917C5"/>
    <w:rsid w:val="00093068"/>
    <w:rsid w:val="00096B50"/>
    <w:rsid w:val="000977EE"/>
    <w:rsid w:val="000A36A9"/>
    <w:rsid w:val="000B0720"/>
    <w:rsid w:val="000B2B81"/>
    <w:rsid w:val="000B62EA"/>
    <w:rsid w:val="000B6D99"/>
    <w:rsid w:val="000C57B9"/>
    <w:rsid w:val="000D2643"/>
    <w:rsid w:val="000D38DC"/>
    <w:rsid w:val="000E29D8"/>
    <w:rsid w:val="000E5F17"/>
    <w:rsid w:val="000F41B9"/>
    <w:rsid w:val="000F5533"/>
    <w:rsid w:val="000F6524"/>
    <w:rsid w:val="0010303E"/>
    <w:rsid w:val="00111F1B"/>
    <w:rsid w:val="0011327D"/>
    <w:rsid w:val="0011368E"/>
    <w:rsid w:val="00116DA6"/>
    <w:rsid w:val="0014178F"/>
    <w:rsid w:val="001417A8"/>
    <w:rsid w:val="001503EF"/>
    <w:rsid w:val="00153793"/>
    <w:rsid w:val="00156D74"/>
    <w:rsid w:val="00167D68"/>
    <w:rsid w:val="00172743"/>
    <w:rsid w:val="00174B69"/>
    <w:rsid w:val="001775C4"/>
    <w:rsid w:val="0018672E"/>
    <w:rsid w:val="001941FB"/>
    <w:rsid w:val="00197607"/>
    <w:rsid w:val="001A34BE"/>
    <w:rsid w:val="001A5A68"/>
    <w:rsid w:val="001A6212"/>
    <w:rsid w:val="001A75E0"/>
    <w:rsid w:val="001B731B"/>
    <w:rsid w:val="001C07DC"/>
    <w:rsid w:val="001C699C"/>
    <w:rsid w:val="001E0CE1"/>
    <w:rsid w:val="001E46D1"/>
    <w:rsid w:val="001E58CC"/>
    <w:rsid w:val="001F3183"/>
    <w:rsid w:val="001F59ED"/>
    <w:rsid w:val="001F5BBC"/>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7225"/>
    <w:rsid w:val="002A005E"/>
    <w:rsid w:val="002A0226"/>
    <w:rsid w:val="002A0270"/>
    <w:rsid w:val="002A1134"/>
    <w:rsid w:val="002B2108"/>
    <w:rsid w:val="002B770A"/>
    <w:rsid w:val="002C0488"/>
    <w:rsid w:val="002C2227"/>
    <w:rsid w:val="002C4097"/>
    <w:rsid w:val="002C6BAC"/>
    <w:rsid w:val="002D0CCE"/>
    <w:rsid w:val="002D3D42"/>
    <w:rsid w:val="002D479B"/>
    <w:rsid w:val="002D59EA"/>
    <w:rsid w:val="002D6DFE"/>
    <w:rsid w:val="002D6EC9"/>
    <w:rsid w:val="002D787B"/>
    <w:rsid w:val="002E0939"/>
    <w:rsid w:val="002E1960"/>
    <w:rsid w:val="002E313B"/>
    <w:rsid w:val="002E6296"/>
    <w:rsid w:val="002F12DF"/>
    <w:rsid w:val="002F4652"/>
    <w:rsid w:val="002F5136"/>
    <w:rsid w:val="0031143E"/>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909"/>
    <w:rsid w:val="00347BF0"/>
    <w:rsid w:val="00350CCC"/>
    <w:rsid w:val="0035318F"/>
    <w:rsid w:val="00354C01"/>
    <w:rsid w:val="00355B9A"/>
    <w:rsid w:val="00356887"/>
    <w:rsid w:val="0036306A"/>
    <w:rsid w:val="003658B1"/>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0735"/>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64F4"/>
    <w:rsid w:val="00440C40"/>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23C9"/>
    <w:rsid w:val="004B6AA8"/>
    <w:rsid w:val="004B6E00"/>
    <w:rsid w:val="004C186B"/>
    <w:rsid w:val="004C3F2E"/>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5CB3"/>
    <w:rsid w:val="005778C8"/>
    <w:rsid w:val="0058113E"/>
    <w:rsid w:val="0058120D"/>
    <w:rsid w:val="00582E47"/>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4034"/>
    <w:rsid w:val="00652AC8"/>
    <w:rsid w:val="0066157D"/>
    <w:rsid w:val="00671A08"/>
    <w:rsid w:val="0067313E"/>
    <w:rsid w:val="00674023"/>
    <w:rsid w:val="006756FB"/>
    <w:rsid w:val="0067647D"/>
    <w:rsid w:val="00677BD0"/>
    <w:rsid w:val="00684D2E"/>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790B"/>
    <w:rsid w:val="006F055C"/>
    <w:rsid w:val="006F3A2E"/>
    <w:rsid w:val="007024FE"/>
    <w:rsid w:val="00707D20"/>
    <w:rsid w:val="00721AD7"/>
    <w:rsid w:val="007225EF"/>
    <w:rsid w:val="00722BA6"/>
    <w:rsid w:val="007231EB"/>
    <w:rsid w:val="00723DC5"/>
    <w:rsid w:val="0072744D"/>
    <w:rsid w:val="00727952"/>
    <w:rsid w:val="007338D6"/>
    <w:rsid w:val="00740B36"/>
    <w:rsid w:val="00745EBA"/>
    <w:rsid w:val="00746DED"/>
    <w:rsid w:val="00747A6F"/>
    <w:rsid w:val="0075158D"/>
    <w:rsid w:val="007530D2"/>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0C23"/>
    <w:rsid w:val="007E546F"/>
    <w:rsid w:val="007F1928"/>
    <w:rsid w:val="007F343C"/>
    <w:rsid w:val="007F392E"/>
    <w:rsid w:val="00801422"/>
    <w:rsid w:val="008016B6"/>
    <w:rsid w:val="00806FA9"/>
    <w:rsid w:val="00811234"/>
    <w:rsid w:val="00811A1B"/>
    <w:rsid w:val="008135D0"/>
    <w:rsid w:val="008136EE"/>
    <w:rsid w:val="008151AE"/>
    <w:rsid w:val="00817AF4"/>
    <w:rsid w:val="008204DD"/>
    <w:rsid w:val="00824DED"/>
    <w:rsid w:val="00826E5A"/>
    <w:rsid w:val="008276A8"/>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D1AEF"/>
    <w:rsid w:val="008D5F8F"/>
    <w:rsid w:val="008E14F3"/>
    <w:rsid w:val="008E1F30"/>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95B"/>
    <w:rsid w:val="00993D92"/>
    <w:rsid w:val="009A32D1"/>
    <w:rsid w:val="009A4D63"/>
    <w:rsid w:val="009A54FC"/>
    <w:rsid w:val="009A5A1C"/>
    <w:rsid w:val="009B08C5"/>
    <w:rsid w:val="009B0DE8"/>
    <w:rsid w:val="009B52C0"/>
    <w:rsid w:val="009C2167"/>
    <w:rsid w:val="009C324F"/>
    <w:rsid w:val="009C6D2C"/>
    <w:rsid w:val="009D46C1"/>
    <w:rsid w:val="009E0D02"/>
    <w:rsid w:val="009E5838"/>
    <w:rsid w:val="00A039FE"/>
    <w:rsid w:val="00A04465"/>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59B8"/>
    <w:rsid w:val="00A8721E"/>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B04278"/>
    <w:rsid w:val="00B0695A"/>
    <w:rsid w:val="00B12672"/>
    <w:rsid w:val="00B14861"/>
    <w:rsid w:val="00B163AD"/>
    <w:rsid w:val="00B16656"/>
    <w:rsid w:val="00B17EEB"/>
    <w:rsid w:val="00B23254"/>
    <w:rsid w:val="00B2434D"/>
    <w:rsid w:val="00B24D29"/>
    <w:rsid w:val="00B34716"/>
    <w:rsid w:val="00B359FB"/>
    <w:rsid w:val="00B42477"/>
    <w:rsid w:val="00B477CA"/>
    <w:rsid w:val="00B5169C"/>
    <w:rsid w:val="00B61A13"/>
    <w:rsid w:val="00B625B1"/>
    <w:rsid w:val="00B648CA"/>
    <w:rsid w:val="00B70568"/>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C07"/>
    <w:rsid w:val="00BC31F9"/>
    <w:rsid w:val="00BC6F83"/>
    <w:rsid w:val="00BD2B71"/>
    <w:rsid w:val="00BD34B4"/>
    <w:rsid w:val="00BD3C51"/>
    <w:rsid w:val="00BD6AA5"/>
    <w:rsid w:val="00BE2C56"/>
    <w:rsid w:val="00BE73BE"/>
    <w:rsid w:val="00BF0E63"/>
    <w:rsid w:val="00BF19DF"/>
    <w:rsid w:val="00BF2C5D"/>
    <w:rsid w:val="00BF31E3"/>
    <w:rsid w:val="00BF321D"/>
    <w:rsid w:val="00C00740"/>
    <w:rsid w:val="00C01771"/>
    <w:rsid w:val="00C07731"/>
    <w:rsid w:val="00C12D16"/>
    <w:rsid w:val="00C1657F"/>
    <w:rsid w:val="00C218A9"/>
    <w:rsid w:val="00C263F4"/>
    <w:rsid w:val="00C34D56"/>
    <w:rsid w:val="00C47EE0"/>
    <w:rsid w:val="00C53758"/>
    <w:rsid w:val="00C60992"/>
    <w:rsid w:val="00C63006"/>
    <w:rsid w:val="00C631E3"/>
    <w:rsid w:val="00C645A7"/>
    <w:rsid w:val="00C67568"/>
    <w:rsid w:val="00C7059C"/>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19F5"/>
    <w:rsid w:val="00D23CDC"/>
    <w:rsid w:val="00D268EB"/>
    <w:rsid w:val="00D26CFF"/>
    <w:rsid w:val="00D274C6"/>
    <w:rsid w:val="00D4354E"/>
    <w:rsid w:val="00D43B0A"/>
    <w:rsid w:val="00D44CA3"/>
    <w:rsid w:val="00D456D8"/>
    <w:rsid w:val="00D45A0E"/>
    <w:rsid w:val="00D4758C"/>
    <w:rsid w:val="00D51B6A"/>
    <w:rsid w:val="00D55FAB"/>
    <w:rsid w:val="00D56786"/>
    <w:rsid w:val="00D60F04"/>
    <w:rsid w:val="00D61B7F"/>
    <w:rsid w:val="00D61EAB"/>
    <w:rsid w:val="00D701D3"/>
    <w:rsid w:val="00D71E46"/>
    <w:rsid w:val="00D7445F"/>
    <w:rsid w:val="00D910ED"/>
    <w:rsid w:val="00D92B1D"/>
    <w:rsid w:val="00D960F4"/>
    <w:rsid w:val="00DA4467"/>
    <w:rsid w:val="00DB57ED"/>
    <w:rsid w:val="00DC0E31"/>
    <w:rsid w:val="00DC1855"/>
    <w:rsid w:val="00DC5CBE"/>
    <w:rsid w:val="00DC70D0"/>
    <w:rsid w:val="00DC7DD6"/>
    <w:rsid w:val="00DE59A7"/>
    <w:rsid w:val="00DE66C5"/>
    <w:rsid w:val="00DF2780"/>
    <w:rsid w:val="00DF54D5"/>
    <w:rsid w:val="00E0345B"/>
    <w:rsid w:val="00E03556"/>
    <w:rsid w:val="00E13146"/>
    <w:rsid w:val="00E14FE8"/>
    <w:rsid w:val="00E16923"/>
    <w:rsid w:val="00E174FC"/>
    <w:rsid w:val="00E20070"/>
    <w:rsid w:val="00E20994"/>
    <w:rsid w:val="00E22124"/>
    <w:rsid w:val="00E24D40"/>
    <w:rsid w:val="00E251EC"/>
    <w:rsid w:val="00E261AD"/>
    <w:rsid w:val="00E272DF"/>
    <w:rsid w:val="00E31097"/>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4A75"/>
    <w:rsid w:val="00EB5FBB"/>
    <w:rsid w:val="00EC6929"/>
    <w:rsid w:val="00EC6A0B"/>
    <w:rsid w:val="00ED407A"/>
    <w:rsid w:val="00EE3517"/>
    <w:rsid w:val="00EE4A18"/>
    <w:rsid w:val="00EF61D1"/>
    <w:rsid w:val="00EF70F2"/>
    <w:rsid w:val="00F01D63"/>
    <w:rsid w:val="00F062D1"/>
    <w:rsid w:val="00F076AB"/>
    <w:rsid w:val="00F154D0"/>
    <w:rsid w:val="00F17550"/>
    <w:rsid w:val="00F230F7"/>
    <w:rsid w:val="00F24169"/>
    <w:rsid w:val="00F261D6"/>
    <w:rsid w:val="00F319E6"/>
    <w:rsid w:val="00F329F4"/>
    <w:rsid w:val="00F33B94"/>
    <w:rsid w:val="00F35911"/>
    <w:rsid w:val="00F360B2"/>
    <w:rsid w:val="00F42D43"/>
    <w:rsid w:val="00F57965"/>
    <w:rsid w:val="00F63BEA"/>
    <w:rsid w:val="00F67C2E"/>
    <w:rsid w:val="00F72B1B"/>
    <w:rsid w:val="00F77E12"/>
    <w:rsid w:val="00F814DE"/>
    <w:rsid w:val="00F8645E"/>
    <w:rsid w:val="00F90045"/>
    <w:rsid w:val="00F925FE"/>
    <w:rsid w:val="00F9270C"/>
    <w:rsid w:val="00F9643F"/>
    <w:rsid w:val="00FA28D1"/>
    <w:rsid w:val="00FA3D8B"/>
    <w:rsid w:val="00FA6558"/>
    <w:rsid w:val="00FB1AAD"/>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909533021">
      <w:bodyDiv w:val="1"/>
      <w:marLeft w:val="0"/>
      <w:marRight w:val="0"/>
      <w:marTop w:val="0"/>
      <w:marBottom w:val="0"/>
      <w:divBdr>
        <w:top w:val="none" w:sz="0" w:space="0" w:color="auto"/>
        <w:left w:val="none" w:sz="0" w:space="0" w:color="auto"/>
        <w:bottom w:val="none" w:sz="0" w:space="0" w:color="auto"/>
        <w:right w:val="none" w:sz="0" w:space="0" w:color="auto"/>
      </w:divBdr>
      <w:divsChild>
        <w:div w:id="268663215">
          <w:marLeft w:val="360"/>
          <w:marRight w:val="0"/>
          <w:marTop w:val="200"/>
          <w:marBottom w:val="0"/>
          <w:divBdr>
            <w:top w:val="none" w:sz="0" w:space="0" w:color="auto"/>
            <w:left w:val="none" w:sz="0" w:space="0" w:color="auto"/>
            <w:bottom w:val="none" w:sz="0" w:space="0" w:color="auto"/>
            <w:right w:val="none" w:sz="0" w:space="0" w:color="auto"/>
          </w:divBdr>
        </w:div>
        <w:div w:id="1158426688">
          <w:marLeft w:val="720"/>
          <w:marRight w:val="0"/>
          <w:marTop w:val="100"/>
          <w:marBottom w:val="0"/>
          <w:divBdr>
            <w:top w:val="none" w:sz="0" w:space="0" w:color="auto"/>
            <w:left w:val="none" w:sz="0" w:space="0" w:color="auto"/>
            <w:bottom w:val="none" w:sz="0" w:space="0" w:color="auto"/>
            <w:right w:val="none" w:sz="0" w:space="0" w:color="auto"/>
          </w:divBdr>
        </w:div>
        <w:div w:id="136190412">
          <w:marLeft w:val="1080"/>
          <w:marRight w:val="0"/>
          <w:marTop w:val="100"/>
          <w:marBottom w:val="0"/>
          <w:divBdr>
            <w:top w:val="none" w:sz="0" w:space="0" w:color="auto"/>
            <w:left w:val="none" w:sz="0" w:space="0" w:color="auto"/>
            <w:bottom w:val="none" w:sz="0" w:space="0" w:color="auto"/>
            <w:right w:val="none" w:sz="0" w:space="0" w:color="auto"/>
          </w:divBdr>
        </w:div>
        <w:div w:id="1336881791">
          <w:marLeft w:val="1080"/>
          <w:marRight w:val="0"/>
          <w:marTop w:val="100"/>
          <w:marBottom w:val="0"/>
          <w:divBdr>
            <w:top w:val="none" w:sz="0" w:space="0" w:color="auto"/>
            <w:left w:val="none" w:sz="0" w:space="0" w:color="auto"/>
            <w:bottom w:val="none" w:sz="0" w:space="0" w:color="auto"/>
            <w:right w:val="none" w:sz="0" w:space="0" w:color="auto"/>
          </w:divBdr>
        </w:div>
        <w:div w:id="1684282901">
          <w:marLeft w:val="360"/>
          <w:marRight w:val="0"/>
          <w:marTop w:val="200"/>
          <w:marBottom w:val="0"/>
          <w:divBdr>
            <w:top w:val="none" w:sz="0" w:space="0" w:color="auto"/>
            <w:left w:val="none" w:sz="0" w:space="0" w:color="auto"/>
            <w:bottom w:val="none" w:sz="0" w:space="0" w:color="auto"/>
            <w:right w:val="none" w:sz="0" w:space="0" w:color="auto"/>
          </w:divBdr>
        </w:div>
        <w:div w:id="2059938564">
          <w:marLeft w:val="720"/>
          <w:marRight w:val="0"/>
          <w:marTop w:val="100"/>
          <w:marBottom w:val="0"/>
          <w:divBdr>
            <w:top w:val="none" w:sz="0" w:space="0" w:color="auto"/>
            <w:left w:val="none" w:sz="0" w:space="0" w:color="auto"/>
            <w:bottom w:val="none" w:sz="0" w:space="0" w:color="auto"/>
            <w:right w:val="none" w:sz="0" w:space="0" w:color="auto"/>
          </w:divBdr>
        </w:div>
        <w:div w:id="1848401104">
          <w:marLeft w:val="1080"/>
          <w:marRight w:val="0"/>
          <w:marTop w:val="100"/>
          <w:marBottom w:val="0"/>
          <w:divBdr>
            <w:top w:val="none" w:sz="0" w:space="0" w:color="auto"/>
            <w:left w:val="none" w:sz="0" w:space="0" w:color="auto"/>
            <w:bottom w:val="none" w:sz="0" w:space="0" w:color="auto"/>
            <w:right w:val="none" w:sz="0" w:space="0" w:color="auto"/>
          </w:divBdr>
        </w:div>
        <w:div w:id="618605257">
          <w:marLeft w:val="720"/>
          <w:marRight w:val="0"/>
          <w:marTop w:val="100"/>
          <w:marBottom w:val="0"/>
          <w:divBdr>
            <w:top w:val="none" w:sz="0" w:space="0" w:color="auto"/>
            <w:left w:val="none" w:sz="0" w:space="0" w:color="auto"/>
            <w:bottom w:val="none" w:sz="0" w:space="0" w:color="auto"/>
            <w:right w:val="none" w:sz="0" w:space="0" w:color="auto"/>
          </w:divBdr>
        </w:div>
        <w:div w:id="219823561">
          <w:marLeft w:val="360"/>
          <w:marRight w:val="0"/>
          <w:marTop w:val="200"/>
          <w:marBottom w:val="0"/>
          <w:divBdr>
            <w:top w:val="none" w:sz="0" w:space="0" w:color="auto"/>
            <w:left w:val="none" w:sz="0" w:space="0" w:color="auto"/>
            <w:bottom w:val="none" w:sz="0" w:space="0" w:color="auto"/>
            <w:right w:val="none" w:sz="0" w:space="0" w:color="auto"/>
          </w:divBdr>
        </w:div>
        <w:div w:id="1726833618">
          <w:marLeft w:val="720"/>
          <w:marRight w:val="0"/>
          <w:marTop w:val="100"/>
          <w:marBottom w:val="0"/>
          <w:divBdr>
            <w:top w:val="none" w:sz="0" w:space="0" w:color="auto"/>
            <w:left w:val="none" w:sz="0" w:space="0" w:color="auto"/>
            <w:bottom w:val="none" w:sz="0" w:space="0" w:color="auto"/>
            <w:right w:val="none" w:sz="0" w:space="0" w:color="auto"/>
          </w:divBdr>
        </w:div>
        <w:div w:id="844713604">
          <w:marLeft w:val="720"/>
          <w:marRight w:val="0"/>
          <w:marTop w:val="100"/>
          <w:marBottom w:val="0"/>
          <w:divBdr>
            <w:top w:val="none" w:sz="0" w:space="0" w:color="auto"/>
            <w:left w:val="none" w:sz="0" w:space="0" w:color="auto"/>
            <w:bottom w:val="none" w:sz="0" w:space="0" w:color="auto"/>
            <w:right w:val="none" w:sz="0" w:space="0" w:color="auto"/>
          </w:divBdr>
        </w:div>
        <w:div w:id="1785034713">
          <w:marLeft w:val="720"/>
          <w:marRight w:val="0"/>
          <w:marTop w:val="100"/>
          <w:marBottom w:val="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F2128-AF50-4E45-9DD0-F6669CDA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26</cp:revision>
  <cp:lastPrinted>2016-02-23T15:51:00Z</cp:lastPrinted>
  <dcterms:created xsi:type="dcterms:W3CDTF">2018-09-24T22:40:00Z</dcterms:created>
  <dcterms:modified xsi:type="dcterms:W3CDTF">2018-11-03T01:31:00Z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